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В </w:t>
            </w:r>
            <w:r w:rsidDel="00000000" w:rsidR="00000000" w:rsidRPr="00000000">
              <w:rPr>
                <w:rFonts w:ascii="Arial" w:cs="Arial" w:eastAsia="Arial" w:hAnsi="Arial"/>
                <w:color w:val="666666"/>
                <w:sz w:val="24"/>
                <w:szCs w:val="24"/>
                <w:vertAlign w:val="baseline"/>
                <w:rtl w:val="0"/>
              </w:rPr>
              <w:t xml:space="preserve">____________</w:t>
            </w:r>
            <w:r w:rsidDel="00000000" w:rsidR="00000000" w:rsidRPr="00000000">
              <w:rPr>
                <w:rFonts w:ascii="Arial" w:cs="Arial" w:eastAsia="Arial" w:hAnsi="Arial"/>
                <w:sz w:val="24"/>
                <w:szCs w:val="24"/>
                <w:vertAlign w:val="baseline"/>
                <w:rtl w:val="0"/>
              </w:rPr>
              <w:t xml:space="preserve"> районный (городской)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суда, в производстве которого находится уголовное дело; при заявлении на следствии — следователю (руководителю следственного органа) 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По уголовному делу №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Обвиняемый (подсудимый):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полностью, дата и место рождения, содержится под стражей / под иной мерой пресечения — указать)</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Защитник: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адвоката, наименование адвокатского образования; ордер № ____________ от «__» ____________ 20__ г., удостоверение № 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(ходатайство заявляется в порядке ст. 119–120 УПК РФ)</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ХОДАТАЙСТВО</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переквалификации деяния со ст. 105 УК РФ на ст. 108 (109) УК РФ</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производстве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(наименование органа, суда) находится уголовное дело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 обвинению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обвиняемого) в совершении преступления, предусмотренного ч.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ст. 105 УК РФ (убийство). Мой подзащитный признаётся защитой участником события, однако квалификация содеянного по ст. 105 УК РФ не соответствует установленным по делу фактическим обстоятельствам.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материалам дела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произошло событие с участием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обвиняемого) и потерпевшего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в результате которого наступила смерть потерпевшего. Обстоятельства события подтверждаются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(протокол осмотра места происшествия, заключение судебно-медицинской экспертизы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показания свидетелей).</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Из установленных обстоятельств следует, что действия обвиняемого были совершены в состоянии необходимой обороны (при превышении её пределов) / при задержании лица, совершившего преступление: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посягательства со стороны потерпевшего, характер угрозы, применённое насилие, орудие). Данные обстоятельства подтверждаются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(показания обвиняемого, свидетелей, характер телесных повреждений сторон, заключение эксперта).</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Умысел на причинение смерти у обвиняемого отсутствовал; его действия носили вынужденный (защитный) характер и были обусловлены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(внезапность и опасность посягательства, несоответствие обстановке), что исключает квалификацию по ст. 105 УК РФ. При квалификации по ст. 109 УК РФ (причинение смерти по неосторожности) отсутствовали умысел и предвидение неизбежности либо возможности наступления смерти при отсутствии должной осмотрительности: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(обстоятельства неосторожности).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Заключением судебно-медицинской экспертизы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установлены характер, локализация и механизм образования телесных повреждений, что свидетельствует 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(единичность удара, оборонительный характер действий, отсутствие признаков целенаправленного лишения жизни). Указанные данные не согласуются с признаками состава ст. 105 УК РФ.</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Таким образом, органами предварительного следствия дана неверная юридическая оценка содеянного. Фактические обстоятельства охватываются составом, предусмотренным ст. 108 УК РФ (убийство при превышении пределов необходимой обороны либо мер, необходимых для задержания) или ст. 109 УК РФ (причинение смерти по неосторожности), что существенно влияет на объём обвинения, категорию преступления и меру наказания.</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37 УК РФ не является преступлением причинение вреда посягающему лицу в состоянии необходимой обороны; согласно ст. 108 УК РФ убийство при превышении пределов необходимой обороны образует самостоятельный, привилегированный состав. Разграничение убийства (ст. 105 УК РФ) и деяний по ст. 108, 109 УК РФ производится исходя из направленности умысла и обстановки события (постановление Пленума Верховного Суда РФ от 27.09.2012 № 19, постановление Пленума Верховного Суда РФ от 27.01.1999 № 1 «О судебной практике по делам об убийстве»).</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5, 8, 14 УК РФ уголовная ответственность наступает лишь за деяние, содержащее все признаки конкретного состава преступления; квалификация должна точно соответствовать установленным фактическим обстоятельствам. В силу ст. 14 УПК РФ все неустранимые сомнения толкуются в пользу обвиняемого, а обвинение не может основываться на предположениях.</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73 УПК РФ подлежат доказыванию форма вины, мотивы и обстоятельства, исключающие или смягчающие ответственность. Ходатайства участников процесса о переквалификации подлежат рассмотрению в порядке ст. 119–122, 271 УПК РФ, а необоснованный отказ в удовлетворении обоснованного ходатайства нарушает право на защиту (ст. 16, 47, 53 УПК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37, 108, 109 УК РФ, ст. 14, 16, 47, 53, 73, 119–122, 271 УПК РФ, разъяснениями постановлений Пленума Верховного Суда РФ от 27.09.2012 № 19 и от 27.01.1999 № 1,</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ПРОШУ:</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Переквалифицировать деяние, вменяемое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обвиняемого), с ч.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ст. 105 УК РФ на ст. 108 УК РФ (ст. 109 УК РФ) в связи с несоответствием квалификации фактическим обстоятельствам дела;</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Приобщить к материалам уголовного дела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представленные защитой документы, подтверждающие обстоятельства события: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(перечень);</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Назначить (истребовать) дополнительную судебно-медицинскую (комплексную) экспертизу по вопросам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(постановка вопросов о механизме и локализации повреждений) — при наличии оснований;</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С учётом переквалификации решить вопрос об изменении меры пресечения в отношении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(Ф.И.О. обвиняемого) на более мягкую.</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ордера защитника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и копия удостоверения адвоката;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Копия постановления о привлечении в качестве обвиняемого (обвинительного заключения) в соответствующей части;</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заключения судебно-медицинской экспертизы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от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Копии протоколов допросов и иных материалов, подтверждающих обстоятельства события;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Документы, характеризующие поведение потерпевшего и обстановку происшествия;</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Иные документы, обосновывающие ходатайство: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Защитник — адвокат ___________________ / ______________________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