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адресу ответчика, ст. 35 АПК РФ; при наличии в договоре условия о договорной подсудности — по правилу договора, ст. 37 АПК РФ; для спора между гражданами без статуса ИП — в районный суд по адресу ответчика, ст. 28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организации/ИП — наименование, адрес, ИНН, ОГРН/ОГРНИП; для гражданина — Ф.И.О., адрес, дата и место рождения, один из идентификаторов — ст. 125 АПК РФ /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заказчика, адрес, ИНН, ОГРН; телефон, эл. почта — при наличии)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(исчисляется от цены иска по пп. 1 п. 1 ст. 333.21 НК РФ для арбитражного суда либо по пп. 1 п. 1 ст. 333.19 НК РФ для суда общей юрисдикции)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взыскании задолженности по договору подряда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(подрядчиком) и ответчиком (заказчиком) заключён договор подряда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истец обязался выполнить работы: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объём и содержание работ) на объекте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а ответчик — принять результат работ и оплатить его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 порядке и сроки, предусмотренные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выполнил работы в полном объёме (в объёме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 в срок, установленный 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договора, что подтверждается актом о приёмке выполненных работ (форма КС-2)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 справкой о стоимости выполненных работ (форма КС-3)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Результат работ передан ответчику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(подписанный акт / отметка о вручении / иной документ). Ответчик замечаний и мотивированного отказа от приёмки в установленный договором и ст. 720 ГК РФ срок не заявил, в связи с чем работы считаются принятыми.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нарушение условий договора и требований ст. 711 ГК РФ ответчик оплату выполненных работ не произвёл (произвёл частично): оплачено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(платёжные документы). Задолженность ответчика перед истцом по договору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 просрочку оплаты договором (п.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 предусмотрена неустойка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 за каждый день просрочки.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размер неустойки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прилагаемому расчёту. При отсутствии договорной неустойки истец начисляет проценты по ст. 395 ГК РФ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истцом в адрес ответчика направлена претензия с требованием погасить задолженность, которая оставлена без удовлетворения (ответ не получен),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опись вложения, отчёт об отслеживании). Обязательный досудебный (претензионный) порядок урегулирования спора истцом соблюдён.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702, 711 ГК РФ по договору подряда подрядчик обязуется выполнить работу и сдать её результат заказчику, а заказчик обязан уплатить обусловленную цену после окончательной сдачи результата работ при условии их надлежащего выполнения. В силу ст. 309, 310 ГК РФ обязательства должны исполняться надлежащим образом, односторонний отказ от их исполнения не допускается.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720 ГК РФ заказчик обязан принять выполненную работу; при уклонении от приёмки без заявления мотивированных возражений работа считается принятой. Согласно ст. 330 ГК РФ при просрочке исполнения обязательства подлежит взысканию договорная неустойка, а при её отсутствии — проценты за пользование чужими денежными средствами по ст. 395 ГК РФ.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Обязательный претензионный порядок урегулирования спора предусмотрен ч. 5 ст. 4 АПК РФ (для арбитражных споров) и соблюдён истцом.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309, 310, 330, 395, 702, 711, 720 ГК РФ, ст. 4, 125, 126 АПК РФ (ст. 131, 132 ГПК РФ),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Взыскать с ответчика в пользу истца задолженность по договору подряда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Взыскать с ответчика в пользу истца неустойку (проценты по ст. 395 ГК РФ)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за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в пользу истца неустойку (проценты) с даты вынесения решения по день фактической уплаты задолженности.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в пользу истца расходы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в пользу истца судебные расходы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иные судебные издержки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 о направлении копии иска и приложений ответчику (почтовая квитанция, опись вложения);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подряда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 приложениями (сметой, техническим заданием);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актов о приёмке выполненных работ (КС-2) и справок о стоимости работ (КС-3);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передачу результата работ ответчику;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Копии платёжных документов о частичной оплате (при наличии);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Расчёт суммы задолженности, неустойки (процентов);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претензии и документы о её направлении и вручении;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 об уплате государственной пошлины;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Выписка из ЕГРЮЛ/ЕГРИП в отношении истца и ответчика;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Документы, подтверждающие полномочия представителя, и документы о судебных расходах.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