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В Арбитражный суд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 общему правилу — по месту нахождения ответчика, ст. 35 АПК РФ; при нескольких ответчиках — по месту нахождения одного из них, ст. 36 АПК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Истец: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правообладателя, адрес, ИНН, ОГРН;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Ответчик: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или Ф.И.О. индивидуального предпринимателя, адрес, ИНН, ОГРН/ОГРНИП)</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Цена иска: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(размер заявленной компенсации)</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Госпошлина: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 имущественному требованию — исходя из цены иска, пп. 1 п. 1 ст. 333.21 НК РФ; за требование неимущественного характера о запрете использования — отдельно, пп. 4 п. 1 ст. 333.21 НК РФ)</w:t>
            </w:r>
          </w:p>
        </w:tc>
      </w:tr>
    </w:tbl>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ИСКОВОЕ ЗАЯВЛЕНИЕ</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защите исключительного права на товарный знак, взыскании компенсации и запрете использования</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Истец является обладателем исключительного права на товарный знак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(словесное, изобразительное, комбинированное обозначение), зарегистрированный в Государственном реестре товарных знаков и знаков обслуживания Российской Федерации, свидетельство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с приоритетом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в отношении товаров и услуг классов МКТУ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(перечень классов),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(свидетельство, выписка из Реестра).</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Срок действия исключительного права на товарный знак установлен до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 является действующим на дату подачи иска. Товарный знак используется истцом для индивидуализации товаров (услуг)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товаров/услуг), обладает известностью среди потребителей.</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Истцу стало известно, что ответчик без разрешения правообладателя использует обозначение, тождественное (сходное до степени смешения) с товарным знаком истца. Факт нарушения выявлен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 выражается в следующем: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(размещение на товарах, этикетках, упаковке; предложение к продаже; реализация; использование в сети «Интернет», доменном имени, рекламе).</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Нарушение подтверждается следующими доказательствами: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(кассовый (товарный) чек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на сумму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приобретённый контрафактный товар, фото- и видеофиксация, нотариальный протокол осмотра сайта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(адрес страницы), скриншоты, сведения об администраторе домена).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Используемое ответчиком обозначение сходно до степени смешения с товарным знаком истца по фонетическому, графическому и семантическому признакам, а товары (услуги) ответчика однородны товарам (услугам), в отношении которых зарегистрирован товарный знак, что создаёт угрозу смешения в глазах потребителей. Разрешение (лицензионный договор, согласие) на использование товарного знака истец ответчику не предоставлял.</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Размер компенсации определён истцом в соответствии со ст. 1515 ГК РФ и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пп. 1 п. 4 ст. 1515 ГК РФ — в размере от 10 000 до 5 000 000 руб. по усмотрению суда; либо по пп. 2 — в двукратном размере стоимости товаров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либо в двукратном размере стоимости права использования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Расчёт компенсации приведён в приложении.</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истцом в адрес ответчика направлена претензия с требованием прекратить нарушение и выплатить компенсацию, которая оставлена без удовлетворения (без ответа),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(почтовая квитанция, опись вложения, отчёт об отслеживании). Обязательный досудебный порядок, предусмотренный п. 5.1 ст. 1252 ГК РФ, истцом соблюдён.</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1229, 1484 ГК РФ правообладателю принадлежит исключительное право использования товарного знака любым не противоречащим закону способом; никто не вправе использовать без разрешения правообладателя сходные с товарным знаком обозначения в отношении однородных товаров, если это создаёт вероятность смешения. Использование товарного знака без согласия правообладателя является нарушением исключительного права (ст. 1252, 1515 ГК РФ).</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п. 1 ст. 1515 ГК РФ товары, на которых незаконно размещён товарный знак или сходное с ним до степени смешения обозначение, являются контрафактными. В силу п. 4 ст. 1515 ГК РФ правообладатель вправе требовать по своему выбору вместо возмещения убытков выплаты компенсации. Согласно ст. 1252 ГК РФ правообладатель вправе требовать пресечения действий, нарушающих право или создающих угрозу его нарушения.</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разъяснениям постановления Пленума Верховного Суда РФ от 23.04.2019 № 10 сходство обозначений и однородность товаров устанавливаются судом с точки зрения рядового потребителя; размер компенсации определяется судом исходя из характера нарушения и иных обстоятельств дела с учётом требований разумности и справедливости.</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1229, 1252, 1484, 1515 ГК РФ, п. 5.1 ст. 1252 ГК РФ, ст. 4, 27, 35, 125, 126 АПК РФ,</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Запретить ответчику использование обозначения, тождественного (сходного до степени смешения) с товарным знаком истца по свидетельству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отношении товаров (услуг) классов МКТУ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том числе путём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(способы использования: размещение на товарах, упаковке; предложение к продаже; реализация; использование в сети «Интернет», доменном имени).</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Взыскать с ответчика в пользу истца компенсацию за нарушение исключительного права на товарный знак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Обязать ответчика изъять из оборота и уничтожить за свой счёт контрафактные товары, этикетки, упаковку с незаконно размещённым обозначением.</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Обязать ответчика удалить незаконно используемое обозначение с материалов, которыми сопровождается выполнение работ (оказание услуг), в том числе с документации, рекламы, из сети «Интернет».</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Взыскать с ответчика судебные расходы: по уплате государственной пошлины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нотариальное обеспечение доказательств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приобретение контрафактного товара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на оплату услуг представителя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иные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Документы, подтверждающие направление копий иска и приложений ответчику (почтовая квитанция, опись вложения);</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свидетельства на товарный знак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 выписка из Государственного реестра товарных знаков;</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Документы, подтверждающие использование товарного знака истцом;</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Доказательства нарушения: кассовый (товарный) чек, контрафактный товар (образец), фото- и видеоматериалы;</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Нотариальный протокол осмотра сайта и скриншоты страниц в сети «Интернет»;</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Сведения об администраторе доменного имени (при наличии);</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Заключение (справка) о сходстве обозначений и однородности товаров (при наличии);</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Копия досудебной претензии и документы о её направлении;</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Расчёт размера компенсации;</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10. Документ об уплате государственной пошлины;</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11. Документы о судебных расходах;</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12. Выписки из ЕГРЮЛ (ЕГРИП) в отношении истца и ответчика;</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13. Доверенность или иной документ, подтверждающий полномочия представителя.</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Истец (представитель) ___________________ / ______________________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