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В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(по общему правилу — по месту нахождения (жительства) ответчика, ст. 28 ГПК РФ; при наличии в договоре условия о договорной подсудности — по согласованному месту, ст. 32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Истец: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либо наименование организации, адрес, для гражданина — дата и место рождения, один из идентификаторов по п. 2 ч. 2 ст. 131 ГПК РФ; для организации — ИНН, ОГРН;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Ответчик: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либо наименование организации, адрес, ИНН, ОГРН — если известны)</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Цена иска: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Госпошлина: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руб.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(рассчитывается от цены иска по пп. 1 п. 1 ст. 333.19 НК РФ)</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ИСКОВОЕ ЗАЯВЛЕНИЕ</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возмещении убытков, причинённых неисполнением (ненадлежащим исполнением) обязательства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истцом и ответчиком заключён договор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договора: поставки, подряда, возмездного оказания услуг и т.п.)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 условиям которого ответчик принял на себя обязательство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(существо обязательства: поставить товар, выполнить работы, оказать услуги, передать имущество и т.п.) в срок до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Истец надлежащим образом исполнил свои встречные обязательства по договору, а именно: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(произвёл оплату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передал материалы, обеспечил доступ и т.п.),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(платёжное поручение, акт приёма-передачи, товарная накладная).</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Ответчик свои обязательства по договору не исполнил (исполнил ненадлежащим образом):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нарушения: не поставил товар, выполнил работы с недостатками, нарушил сроки и т.п.),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переписка, заключение специалиста, иные доказательства).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результате допущенного ответчиком нарушения истцу причинены убытки. Реальный ущерб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 складывается из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(расходы на устранение недостатков, стоимость утраченного (повреждённого) имущества, расходы на приобретение товара (работ) у другого лица и т.п.),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(договоры, платёжные документы, сметы, экспертное заключение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Упущенная выгода истца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 представляет собой неполученные доходы, которые истец получил бы при обычных условиях гражданского оборота, если бы обязательство было исполнено надлежащим образом, а именно: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(обоснование и расчёт неполученного дохода). Общий размер убытков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Между нарушением обязательства ответчиком и возникшими у истца убытками имеется прямая причинно-следственная связь: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(обоснование связи между действиями (бездействием) ответчика и наступившими последствиями).</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истцом в адрес ответчика направлена претензия с требованием о добровольном возмещении убытков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которая оставлена без удовлетворения (ответа),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(почтовая квитанция, опись вложения, отчёт об отслеживании). Досудебный порядок урегулирования спора истцом соблюдён.</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15 ГК РФ лицо, право которого нарушено, может требовать полного возмещения причинённых ему убытков, под которыми понимаются реальный ущерб (расходы, которые лицо произвело или должно будет произвести для восстановления нарушенного права, утрата или повреждение имущества) и упущенная выгода (неполученные доходы).</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393 ГК РФ должник обязан возместить кредитору убытки, причинённые неисполнением или ненадлежащим исполнением обязательства. В силу ст. 309, 310 ГК РФ обязательства должны исполняться надлежащим образом, односторонний отказ от их исполнения не допускается.</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Как разъяснено в постановлении Пленума Верховного Суда РФ от 24.03.2016 № 7 (п. 5, 12–14), размер подлежащих возмещению убытков определяется с разумной степенью достоверности; кредитор обязан доказать факт нарушения, наличие и размер убытков, а также причинную связь, тогда как отсутствие вины доказывает должник (ст. 401 ГК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15, 309, 310, 393, 401 ГК РФ, ст. 131, 132 ГПК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Взыскать с ответчика в пользу истца в возмещение убытков (реальный ущерб) по договору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сумму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Взыскать с ответчика в пользу истца упущенную выгоду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Взыскать с ответчика проценты за пользование чужими денежными средствами по ст. 395 ГК РФ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Взыскать с ответчика судебные расходы: по уплате государственной пошлины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на проведение экспертизы (оценки)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на оплату услуг представителя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иные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Уведомление о вручении (иные документы о направлении) копий иска и приложений ответчику;</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Копия договора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со всеми приложениями и дополнительными соглашениями;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Копии документов, подтверждающих исполнение истцом своих обязательств (платёжные документы, акты, накладные);</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Копии документов, подтверждающих факт нарушения ответчиком обязательства (акты, переписка, заключения);</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Документы, подтверждающие размер реального ущерба и упущенной выгоды (сметы, договоры, платёжные документы, экспертное заключение);</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Расчёт цены иска (суммы убытков и процентов);</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Копия претензии и документы о её направлении ответчику;</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Документ об уплате государственной пошлины;</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Доверенность или иной документ, подтверждающий полномочия представителя (при наличии).</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Истец (представитель)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