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В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районный суд</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(по общему правилу — по месту жительства (месту нахождения) ответчика, ст. 28 ГПК РФ; при наличии оснований — по правилам подсудности по выбору истца ст. 29 ГПК РФ, договорной подсудности ст. 32 ГПК РФ либо исключительной подсудности ст. 30 ГПК РФ)</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Истец: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либо наименование; адрес; для гражданина — дата и место рождения, один из идентификаторов (СНИЛС, ИНН, серия и номер паспорта и др.) — п. 2 ч. 2 ст. 131 ГПК РФ; для организации — ИНН, ОГРН; телефон, эл. почта)</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Ответчик: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либо наименование; адрес; для гражданина — дата и место рождения и один из идентификаторов, если известны; для организации — ИНН, ОГРН)</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Третье лицо: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(при наличии — Ф.И.О. либо наименование, адрес; если отсутствует, строку исключить)</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Цена иска: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руб.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(по имущественным требованиям, подлежащим оценке, — ст. 91 ГПК РФ)</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Госпошлина: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руб.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(исчисляется от цены иска по пп. 1 п. 1 ст. 333.19 НК РФ; при освобождении указать основание — ст. 333.36 НК РФ)</w:t>
            </w:r>
          </w:p>
        </w:tc>
      </w:tr>
    </w:tbl>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20" w:before="280" w:line="324.0000057220459" w:lineRule="auto"/>
        <w:rPr>
          <w:rFonts w:ascii="Times" w:cs="Times" w:eastAsia="Times" w:hAnsi="Times"/>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40" w:line="324.0000057220459" w:lineRule="auto"/>
        <w:jc w:val="center"/>
        <w:rPr>
          <w:rFonts w:ascii="Times" w:cs="Times" w:eastAsia="Times" w:hAnsi="Times"/>
          <w:b w:val="1"/>
          <w:bCs w:val="1"/>
          <w:sz w:val="28"/>
          <w:szCs w:val="28"/>
        </w:rPr>
      </w:pPr>
      <w:r w:rsidDel="00000000" w:rsidR="00000000" w:rsidRPr="00000000">
        <w:rPr>
          <w:rFonts w:ascii="Times" w:cs="Times" w:eastAsia="Times" w:hAnsi="Times"/>
          <w:b w:val="1"/>
          <w:bCs w:val="1"/>
          <w:sz w:val="28"/>
          <w:szCs w:val="28"/>
          <w:rtl w:val="0"/>
        </w:rPr>
        <w:t xml:space="preserve">ИСКОВОЕ ЗАЯВЛЕНИЕ</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80" w:line="324.0000057220459"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о взыскании денежных средств (защите нарушенного гражданского права)</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между истцом и ответчиком возникли правоотношения, основанные на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(договор, сделка, обязательство из причинения вреда, иное основание),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(реквизиты документа: договор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расписка, акт и др.).</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По условиям указанного обязательства ответчик обязан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(существо обязанности ответчика: передать имущество, выполнить работу, уплатить денежные средства, возместить вред и т.п.), а истец надлежащим образом исполнил свои обязанности, а именно: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(действия истца),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(платёжный документ, акт приёма-передачи, иное).</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нарушение принятых обязательств ответчик их не исполнил (исполнил ненадлежащим образом):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(описание нарушения — просрочка, неоплата, отказ, причинение ущерба),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(переписка, акт, справка, иное доказательство).</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результате нарушения ответчиком обязательств истцу причинён имущественный вред (возникли убытки)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складывающийся из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(реальный ущерб, упущенная выгода, сумма основного долга и т.п.), что подтверждается расчётом и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(заключение, отчёт об оценке, первичные документы).</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За нарушение обязательства подлежат начислению проценты (неустойка)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за период с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исходя из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(ставка по договору, ключевая ставка Банка России и т.п.), согласно прилагаемому расчёту.</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истцом в адрес ответчика направлено требование (претензия) об исполнении обязательства в течение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рабочих дней, которое оставлено без удовлетворения (без ответа),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(почтовая квитанция, опись вложения, отчёт об отслеживании).</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До настоящего времени ответчик обязательство не исполнил, задолженность (ущерб) не погашена, что послужило основанием для обращения в суд.</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силу ст. 309, 310 ГК РФ обязательства должны исполняться надлежащим образом в соответствии с условиями обязательства и требованиями закона, а односторонний отказ от исполнения обязательства и одностороннее изменение его условий не допускаются.</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ст. 15, 393 ГК РФ лицо, право которого нарушено, вправе требовать полного возмещения причинённых ему убытков; должник обязан возместить кредитору убытки, причинённые неисполнением или ненадлежащим исполнением обязательства. За неправомерное удержание денежных средств подлежат уплате проценты (ст. 395 ГК РФ) либо предусмотренная законом или договором неустойка (ст. 330, 331 ГК РФ).</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соответствии со ст. 56 ГПК РФ каждая сторона обязана доказать обстоятельства, на которые она ссылается; изложенные обстоятельства и заявленные требования подтверждаются приложенными доказательствами.</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основании изложенного и руководствуясь ст. 15, 309, 310, 330, 393, 395 ГК РФ, ст. 3, 28, 56, 88, 98, 131, 132 ГПК РФ,</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00" w:line="324.0000057220459" w:lineRule="auto"/>
        <w:jc w:val="center"/>
        <w:rPr>
          <w:rFonts w:ascii="Times" w:cs="Times" w:eastAsia="Times" w:hAnsi="Times"/>
          <w:b w:val="1"/>
          <w:bCs w:val="1"/>
          <w:sz w:val="26"/>
          <w:szCs w:val="26"/>
        </w:rPr>
      </w:pPr>
      <w:r w:rsidDel="00000000" w:rsidR="00000000" w:rsidRPr="00000000">
        <w:rPr>
          <w:rFonts w:ascii="Times" w:cs="Times" w:eastAsia="Times" w:hAnsi="Times"/>
          <w:b w:val="1"/>
          <w:bCs w:val="1"/>
          <w:sz w:val="26"/>
          <w:szCs w:val="26"/>
          <w:rtl w:val="0"/>
        </w:rPr>
        <w:t xml:space="preserve">ПРОШУ:</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Взыскать с ответчика в пользу истца сумму основного долга (убытков)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Взыскать с ответчика в пользу истца проценты (неустойку)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за период с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а также по день фактического исполнения обязательства.</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Взыскать с ответчика в пользу истца компенсацию морального вреда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(при наличии оснований, предусмотренных ст. 151 ГК РФ).</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Взыскать с ответчика в пользу истца расходы по уплате государственной пошлины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Взыскать с ответчика в пользу истца судебные расходы на оплату услуг представителя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и иные судебные издержки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20" w:line="324.0000057220459"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Приложения:</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Уведомление о вручении или иные документы, подтверждающие направление ответчику и третьим лицам копий искового заявления и приложенных к нему документов;</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Документ, подтверждающий уплату государственной пошлины (либо документ, подтверждающий право на льготу);</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Копия договора (сделки, иного документа), являющегося основанием заявленных требований;</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Копии документов, подтверждающих исполнение истцом своих обязательств (платёжные документы, акты приёма-передачи и др.);</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Копии документов, подтверждающих нарушение ответчиком обязательства и размер причинённого вреда (акты, заключение, отчёт об оценке, переписка);</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6. Расчёт взыскиваемой суммы, процентов (неустойки), подписанный истцом;</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7. Копия претензии (требования) и документы, подтверждающие её направление ответчику;</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8. Доверенность или иной документ, подтверждающий полномочия представителя (при подаче иска представителем);</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48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9. Документы, подтверждающие судебные расходы.</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00"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«___» ____________ 20___ г.</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Истец (представитель) ___________________ / ______________________ /</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560" w:line="324.0000057220459" w:lineRule="auto"/>
        <w:rPr>
          <w:rFonts w:ascii="Times" w:cs="Times" w:eastAsia="Times" w:hAnsi="Times"/>
          <w:i w:val="1"/>
          <w:iCs w:val="1"/>
          <w:color w:val="666666"/>
          <w:sz w:val="18"/>
          <w:szCs w:val="18"/>
        </w:rPr>
      </w:pPr>
      <w:r w:rsidDel="00000000" w:rsidR="00000000" w:rsidRPr="00000000">
        <w:rPr>
          <w:rFonts w:ascii="Times" w:cs="Times" w:eastAsia="Times" w:hAnsi="Times"/>
          <w:i w:val="1"/>
          <w:iCs w:val="1"/>
          <w:color w:val="666666"/>
          <w:sz w:val="18"/>
          <w:szCs w:val="18"/>
          <w:rtl w:val="0"/>
        </w:rPr>
        <w:t xml:space="preserve">       (подпись)       (Ф.И.О.)</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line="324.0000057220459" w:lineRule="auto"/>
        <w:jc w:val="center"/>
        <w:rPr>
          <w:rFonts w:ascii="Times" w:cs="Times" w:eastAsia="Times" w:hAnsi="Times"/>
          <w:i w:val="1"/>
          <w:iCs w:val="1"/>
          <w:color w:val="888888"/>
          <w:sz w:val="16"/>
          <w:szCs w:val="16"/>
        </w:rPr>
      </w:pPr>
      <w:r w:rsidDel="00000000" w:rsidR="00000000" w:rsidRPr="00000000">
        <w:rPr>
          <w:rFonts w:ascii="Times" w:cs="Times" w:eastAsia="Times" w:hAnsi="Times"/>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