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адресу (месту жительства) ответчика, ст. 28 ГПК РФ; при наличии в договоре условия о договорной подсудности — по согласованному сторонами суду, ст. 32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гражданина — Ф.И.О., адрес, дата и место рождения, один из идентификаторов — п. 2 ч. 2 ст. 131 ГПК РФ; для организации — наименование, адрес, ИНН, ОГРН;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 адрес гражданина либо наименование, адрес, ИНН, ОГРН организации; известные идентификаторы)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(уплачивается от цены иска по имущественным требованиям — пп. 1 п. 1 ст. 333.19 НК РФ; проценты по ст. 395 ГК РФ включаются в цену иска)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задолженности и процентов за пользование чужими денежными средствами (ст. 395 ГК РФ)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договора: поставки, займа, оказания услуг, подряда и т.п.)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истец принял на себя обязательство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обязательства истца), а ответчик — обязательство оплатить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встречного денежного обязательства)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надлежащим образом исполнил свои обязательства по договору,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(товарная накладная, акт приёма-передачи, акт оказанных услуг, платёжный документ и т.п.)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Претензий по качеству и объёму исполнения со стороны ответчика не поступало.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принятых обязательств ответчик оплату в установленный срок не произвёл (произвёл частично): 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задолженность ответчика перед истцом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сверки взаимных расчётов, выписка по счёту, расчёт задолженности).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Поскольку денежное обязательство ответчиком не исполнено, за неправомерное удержание (уклонение от возврата) денежных средств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(день, следующий за днём, когда обязательство подлежало исполнению)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подлежат начислению проценты за пользование чужими денежными средствами по ст. 395 ГК РФ исходя из ключевой ставки Банка России, действовавшей в соответствующие периоды.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Сумма процентов за пользование чужими денежными средствами за указанный период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 Проценты подлежат начислению по день фактической уплаты суммы долга (п. 3 ст. 395 ГК РФ).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претензия с требованием о погашении задолженности и уплате процентов,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 отправления).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Урегулировать спор во внесудебном порядке не представилось возможным, что вынуждает истца обратиться в суд за защитой нарушенного права.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 ГК РФ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и одностороннее изменение его условий не допускаются. Согласно ст. 314 ГК РФ обязательство подлежит исполнению в установленный срок.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395 ГК РФ в случаях неправомерного удержания денежных средств, уклонения от их возврата, иной просрочки в их уплате подлежат уплате проценты на сумму долга, размер которых определяется ключевой ставкой Банка России, действовавшей в соответствующие периоды. Согласно п. 3 ст. 395 ГК РФ проценты взимаются по день уплаты суммы этих средств кредитору.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разъяснениям, изложенным в постановлении Пленума Верховного Суда РФ от 24.03.2016 № 7 «О применении судами некоторых положений Гражданского кодекса Российской Федерации об ответственности за нарушение обязательств», проценты по ст. 395 ГК РФ начисляются по день фактического исполнения денежного обязательства и присуждаются, в том числе на будущее время.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314, 395 ГК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сумму основного долга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проценты за пользование чужими денежными средствами по ст. 395 ГК РФ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проценты за пользование чужими денежными средствами по ст. 395 ГК РФ, начисляемые на сумму задолженности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исходя из ключевой ставки Банка России,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фактического исполнения обязательства.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судебные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судебные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искового заявления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приложений (дополнительных соглашений) к нему;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исполнение истцом обязательств (накладные, акты, платёжные документы);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акта сверки взаимных расчётов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суммы основного долга;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процентов за пользование чужими денежными средствами по ст. 395 ГК РФ;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досудебной претензии и документы, подтверждающие её направление ответчику;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судебные расходы;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или иной документ, удостоверяющий полномочия представителя (при подписании представителем).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