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Кому: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(полное наименование организации-должника (контрагента), адрес места нахождения по ЕГРЮЛ, ИНН, ОГРН; для ИП — Ф.И.О., адрес, ОГРНИП)</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От: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(полное наименование кредитора, адрес, ИНН, ОГРН; телефон, эл. почта; для направления по адресу из ЕГРЮЛ — ст. 165.1 ГК РФ)</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Исх. №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от «__»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20__ г.</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(регистрационный номер и дата исходящего документа)</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Сумма претензии: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руб.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(основной долг ____________ руб. + неустойка ____________ руб. + иные суммы ____________ руб.)</w:t>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ПРЕТЕНЗИЯ</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об оплате задолженности по договору и уплате неустойки</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между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(наименование кредитора) 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(наименование должника) заключён договор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(вид договора: поставки, подряда, возмездного оказания услуг, аренды и т.п.)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(далее — Договор). По условиям Договора кредитор принял на себя обязательство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(поставить товар / выполнить работы / оказать услуги / передать имущество в аренду), а должник — принять и оплатить их в размере и в сроки, установленные Договором.</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Кредитор надлежащим образом исполнил свои обязательства по Договору,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(товарные накладные, УПД, акты приёма-передачи, акты выполненных работ (оказанных услуг), счета-фактуры — с реквизитами и датами). Товар (работы, услуги) принят(ы) должником без замечаний по объёму, качеству и срокам, мотивированный отказ от приёмки в адрес кредитора не поступал.</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 п.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Договора должник обязан произвести оплату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в срок до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(в течение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рабочих дней с момента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Однако в установленный срок оплата должником не произведена (произведена частично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По состоянию на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задолженность должника перед кредитором по Договору составляет: основной долг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(акт сверки взаимных расчётов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подписанный сторонами / данные бухгалтерского учёта).</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Пунктом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Договора за нарушение срока оплаты предусмотрена неустойка (пеня)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 за каждый день просрочки. За период просрочки с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дней) сумма неустойки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согласно прилагаемому расчёту.</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Настоящая претензия направляется в порядке досудебного (претензионного) урегулирования спора, обязательность которого предусмотрена ч. 5 ст. 4 АПК РФ и п.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Договора. В случае неисполнения требований в добровольном порядке кредитор будет вынужден обратиться в арбитражный суд с иском о взыскании задолженности, неустойки, а также судебных расходов, включая расходы на оплату услуг представителя и уплату государственной пошлины, которые будут отнесены на должника.</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силу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 Согласно ст. 314 ГК РФ обязательство подлежит исполнению в предусмотренный им срок.</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зависимости от вида Договора обязанность оплаты вытекает из ст. 486, 516 ГК РФ (оплата товара по договору поставки), ст. 711 ГК РФ (оплата выполненных работ), ст. 781 ГК РФ (оплата услуг) либо ст. 614 ГК РФ (внесение арендной платы). За нарушение денежного обязательства подлежит уплате неустойка (ст. 330 ГК РФ), а при её отсутствии в Договоре — проценты по ст. 395 ГК РФ.</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Соблюдение претензионного порядка урегулирования спора является обязательным условием для обращения в арбитражный суд по требованиям о взыскании денежных средств по договору (ч. 5 ст. 4 АПК РФ), с направлением претензии по адресу, содержащемуся в ЕГРЮЛ (п. 3 ст. 54, ст. 165.1 ГК РФ).</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309, 310, 314, 330, 395 ГК РФ (а также ст. 486, 516, 711, 781, 614 ГК РФ применительно к виду Договора), ч. 5 ст. 4 АПК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ТРЕБУЮ:</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Погасить задолженность по Договору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в размере основного долга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Уплатить неустойку (пеню)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за период просрочки с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с дальнейшим начислением по день фактической оплаты;</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Перечислить указанные суммы в срок не позднее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рабочих дней с момента получения настоящей претензии по банковским реквизитам: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(наименование банка, БИК, к/с, р/с получателя, ИНН/КПП);</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Направить письменный мотивированный ответ на настоящую претензию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(почтовый адрес и (или) адрес эл. почты кредитора) в срок до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Копия договора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со всеми приложениями и дополнительными соглашениями;</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Копии первичных документов, подтверждающих исполнение обязательства (товарные накладные, УПД, акты приёма-передачи, акты выполненных работ (оказанных услуг), счета-фактуры);</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Копия акта сверки взаимных расчётов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(при наличии);</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Расчёт суммы задолженности и неустойки;</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Копии счетов на оплату и (или) счетов-фактур;</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Документ, подтверждающий полномочия лица, подписавшего претензию (доверенность, приказ, выписка из ЕГРЮЛ);</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Документ о направлении (вручении) претензии должнику (почтовая квитанция, опись вложения, отчёт об отслеживании).</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Кредитор (уполномоченный представитель) ___________________ / ______________________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