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выбору истца: по своему месту жительства или пребывания — п. 2 ст. 17 ЗоЗПП, ч. 7 ст. 29 ГПК РФ, либо по месту нахождения (филиала) банка)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(полное наименование кредитной организации (банка),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(истец освобождён от уплаты при цене иска до 1 000 000 руб. — п. 3 ст. 17 ЗоЗПП, пп. 4 п. 2 и п. 3 ст. 333.36 НК РФ)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защите прав потребителя банковских услуг и взыскании незаконно удержанных денежных средств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истцом и ответчиком заключён договор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(кредитный договор / договор потребительского займа / договор банковского счёта / вклада)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по условиям которого истцу предоставлены денежные средства (открыт счёт, принят вклад) на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на срок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под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% годовых. Договор заключён истцом исключительно для личных, семейных нужд, не связанных с предпринимательской деятельностью.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 заключении и исполнении договора ответчиком нарушены права истца как потребителя, а именно: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(навязывание дополнительной услуги / незаконное включение в условия комиссии за ведение счёта, за выдачу кредита, за подключение к программе страхования; списание денежных средств без распоряжения клиента; одностороннее изменение условий; иное нарушение).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связи с указанным нарушением с истца незаконно удержаны (списаны) денежные средства в общей сумме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(выписка по счёту, приходные (расходные) ордера, платёжные документы). Уплата истцом соответствующих сумм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(график платежей, чеки, квитанции).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Условие договора, предусматривающее взимание указанной платы (комиссии, страховой премии), ущемляет права истца как потребителя по сравнению с правилами, установленными законом, поскольку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(услуга не является самостоятельной; навязана в качестве обязательного условия предоставления кредита; истцу не предоставлена информация о праве отказаться; выбор страховой организации навязан ответчиком).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Надлежащая информация об услуге, её полной стоимости и условиях ответчиком до истца доведена не была (доведена не в полном объёме):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(описание, чем подтверждается отсутствие или неполнота информации). Истец был лишён возможности обеспечить правильный выбор услуги.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истцом в адрес ответчика направлена письменная претензия (заявление) с требованием возвратить незаконно удержанные денежные средства (исключить незаконные условия), которая оставлена без удовлетворения (удовлетворена частично),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(почтовая квитанция, отчёт об отслеживании, ответ банка). Срок удовлетворения требования истёк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результате нарушения прав потребителя истцу причинён моральный вред, выразившийся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(нравственные переживания, вынужденные обращения, временные и финансовые затраты), который истец оценивает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819, 834, 845 ГК РФ и Федеральному закону от 02.12.1990 № 395-1 «О банках и банковской деятельности» отношения между банком и гражданином по предоставлению кредита, привлечению вклада, ведению счёта регулируются законом и договором. В силу ст. 16 Закона РФ «О защите прав потребителей» условия договора, ущемляющие права потребителя по сравнению с правилами, установленными законами, признаются недействительными; запрещается обусловливать приобретение одних услуг обязательным приобретением иных услуг.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10 Закона РФ «О защите прав потребителей» и ст. 5, 6 Федерального закона от 21.12.2013 № 353-ФЗ «О потребительском кредите (займе)» банк обязан своевременно предоставлять потребителю полную и достоверную информацию об услуге и её полной стоимости. Согласно ст. 168 ГК РФ и ст. 1102, 1107 ГК РФ денежные средства, полученные по недействительным условиям договора, подлежат возврату как неосновательное обогащение с начислением процентов.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 отношениям сторон применяется Закон РФ «О защите прав потребителей» (постановление Пленума Верховного Суда РФ от 28.06.2012 № 17): подлежат взысканию неустойка за нарушение срока удовлетворения требования потребителя (ст. 31, 28), компенсация морального вреда (ст. 15) и штраф в размере 50% от присуждённой суммы (п. 6 ст. 13).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16, 168, 819, 834, 845, 1102, 1107 ГК РФ, ст. 10, 13, 15, 16, 17, 28, 31 Закона РФ «О защите прав потребителей», ст. 5, 6 Федерального закона «О потребительском кредите (займе)», ст. 131, 132 ГПК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недействительным условие договора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части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(взимания комиссии / платы за подключение к программе страхования / иное условие).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Взыскать с ответчика в пользу истца незаконно удержанные (списанные) денежные средства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проценты за пользование чужими денежными средствами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ответчика неустойку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нарушение срока удовлетворения требования потребителя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ответчика компенсацию морального вреда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Взыскать с ответчика штраф в размере 50% от присуждённой судом суммы за отказ добровольно удовлетворить требования потребителя.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Взыскать с ответчика судебные расходы: на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договора (кредитного, банковского счёта, вклада) со всеми приложениями и графиком платежей;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выписки по счёту и платёжных документов, подтверждающих удержание (списание) денежных средств;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документов о навязанной (дополнительной) услуге и её оплате;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претензии (заявления) в банк и документы о её направлении;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Копия ответа банка (при наличии);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Расчёт цены иска, процентов, неустойки и штрафа;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Документы о судебных расходах.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