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г.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(место заключения договора и дата — словом)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Исполнитель: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юридической организации / Ф.И.О. индивидуального предпринимателя (адвоката), адрес, ИНН, ОГРН/ОГРНИП, для адвоката — реестровый номер и наименование адвокатского образования)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лице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, действующего на основании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(устав, доверенность, ордер),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Заказчик: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(для организации — наименование, адрес, ИНН, ОГРН, лицо, действующее от имени; для гражданина — Ф.И.О., адрес, паспортные данные, телефон, эл. почта),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далее совместно именуемые «Стороны», заключили настоящий договор о нижеследующем.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(договор возмездного оказания услуг, гл. 39 ГК РФ; при выборе адвоката — соглашение об оказании юридической помощи, ст. 25 ФЗ «Об адвокатской деятельности и адвокатуре в РФ»)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ДОГОВОР АБОНЕНТСКОГО ЮРИДИЧЕСКОГО ОБСЛУЖИВАНИЯ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оказание юридических услуг по абонентской модели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ПРЕДМЕТ ДОГОВОРА. Исполнитель обязуется по заданию Заказчика на постоянной основе оказывать комплекс юридических услуг (абонентское юридическое обслуживание), а Заказчик обязуется оплачивать эти услуги в порядке и на условиях настоящего договора. В состав абонентского обслуживания входят: устные и письменные консультации по правовым вопросам; правовой анализ и подготовка (проверка) договоров и иных документов; подготовка претензий, ответов на претензии, писем и запросов; правовое сопровождение переговоров; иные услуги в объёме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и лимиты услуг в месяц). Конкретный перечень и предельный объём услуг за расчётный период определяются Приложением № 1 к настоящему договору.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ПОРЯДОК ОКАЗАНИЯ УСЛУГ. Услуги оказываются по обращениям Заказчика, направляемым в письменной форме, по электронной почте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либо иным согласованным способом. Срок исполнения обращения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получения обращения и необходимых документов, если иной срок не согласован Сторонами. Заказчик обязан своевременно предоставлять Исполнителю документы и сведения, необходимые для оказания услуг, а также выдать доверенность в случае представления интересов перед третьими лицами.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АБОНЕНТСКАЯ ПЛАТА. Стоимость услуг определяется в форме фиксированной абонентской платы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один расчётный период (календарный месяц), которая уплачивается Заказчиком независимо от того, было ли им затребовано исполнение в соответствующем периоде (ст. 429.4 ГК РФ). Оплата производится в срок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числа (порядок: авансом / по итогам периода) путём перечисления на расчётный счёт Исполнителя. Услуги, превышающие согласованный лимит, а равно услуги, не входящие в абонентское обслуживание (представительство в судах, сопровождение сделок с недвижимостью и т.п.), оплачиваются дополнительно по ставкам согласно Приложению № 2.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СРОК ДЕЙСТВИЯ И ПОРЯДОК РАСТОРЖЕНИЯ. Договор заключён на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 указанием даты начала и окончания либо на неопределённый срок) и вступает в силу с момента подписания. Договор считается пролонгированным на тот же срок, если ни одна из Сторон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до окончания срока не заявит о его прекращении. Любая из Сторон вправе отказаться от исполнения договора, уведомив другую Сторону в письменной форме не позднее чем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(ст. 782 ГК РФ), при этом Заказчик оплачивает фактически оказанные услуги.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КОНФИДЕНЦИАЛЬНОСТЬ. Исполнитель обязуется не разглашать сведения, ставшие известными ему в связи с исполнением договора и составляющие коммерческую или иную охраняемую законом тайну Заказчика. Для адвоката сведения, полученные в ходе оказания юридической помощи, составляют адвокатскую тайну (ст. 8 ФЗ «Об адвокатской деятельности и адвокатуре в РФ»). Обязательства по конфиденциальности действуют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лет после прекращения договора.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ОТВЕТСТВЕННОСТЬ СТОРОН И ОТЧЁТНОСТЬ. По итогам каждого расчётного периода Стороны подписывают акт об оказании услуг; при отсутствии мотивированных возражений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услуги считаются принятыми. За нарушение сроков оплаты Заказчик уплачивает неустойку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от суммы задолженности за каждый день просрочки. Исполнитель несёт ответственность за качество услуг в пределах, установленных законом; предельный размер ответственности Исполнителя ограничивается суммой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(при наличии такого условия). Все споры разрешаются путём переговоров, а при недостижении согласия — в суде по подсудности, установленной законом.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Настоящий договор является договором возмездного оказания услуг (ст. 779–783 ГК РФ) с элементами абонентского договора (ст. 429.4 ГК РФ), по которому Заказчик обязан вносить платежи независимо от того, было ли затребовано соответствующее исполнение. В силу ст. 309, 310 ГК РФ обязательства должны исполняться надлежащим образом, односторонний отказ от их исполнения не допускается, за исключением случаев, предусмотренных законом или договором.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782 ГК РФ Заказчик вправе отказаться от исполнения договора при условии оплаты Исполнителю фактически понесённых расходов, а Исполнитель — при условии полного возмещения Заказчику убытков. Если Заказчиком выступает гражданин-потребитель, к отношениям применяется Закон РФ «О защите прав потребителей».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оказании услуг адвокатом отношения регулируются Федеральным законом от 31.05.2002 № 63-ФЗ «Об адвокатской деятельности и адвокатуре в Российской Федерации», а условие о конфиденциальности обеспечивается режимом адвокатской тайны (ст. 8 указанного Закона).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421, 429.4, 779–783, 309, 310 ГК РФ, Стороны согласовали следующие условия,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Оказывать абонентское юридическое обслуживание в объёме и порядке, установленных настоящим договором и Приложением № 1, за фиксированную абонентскую плату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расчётный период.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Производить оплату абонентской платы в срок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числа каждого расчётного периода путём перечисления на расчётный счёт Исполнителя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банке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БИК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Оплачивать услуги сверх согласованного лимита и услуги, не входящие в абонентское обслуживание, дополнительно по ставкам Приложения № 2.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Подписывать акты об оказании услуг по итогам каждого расчётного периода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Соблюдать режим конфиденциальности в отношении сведений, полученных в связи с исполнением договора,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лет после его прекращения.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Приложение № 1 — Перечень и предельный объём (лимиты) услуг, входящих в абонентское обслуживание;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Приложение № 2 — Прейскурант ставок на услуги сверх лимита и услуги, не входящие в абонентское обслуживание;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Приложение № 3 — Форма акта об оказании услуг;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учредительных документов (выписки из ЕГРЮЛ/ЕГРИП) Сторон;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Доверенность на представление интересов Заказчика (при необходимости);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Ордер и копия удостоверения адвоката (при заключении соглашения с адвокатом);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Реквизиты Сторон для расчётов.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Исполнитель / Заказчик (уполномоченные представители Сторон)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